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138 WRV</w:t>
      </w:r>
    </w:p>
    <w:p>
      <w:r>
        <w:rPr>
          <w:color w:val="555555"/>
          <w:sz w:val="18"/>
        </w:rPr>
        <w:t xml:space="preserve">Die Verfassung des Deutschen Reichs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auf Gesetz, Vertrag oder besonderen Rechtstiteln beruhenden Staatsleistungen an die Religionsgesellschaften werden durch die Landesgesetzgebung abgelöst. Die Grundsätze hierfür stellt das Reich auf.</w:t>
      </w:r>
    </w:p>
    <w:p>
      <w:r>
        <w:t xml:space="preserve">(2) Das Eigentum und andere Rechte der Religionsgesellschaften und religiösen Vereine an ihren für Kultus-, Unterrichts- und Wohltätigkeitszwecke bestimmten Anstalten, Stiftungen und sonstigen Vermögen werden gewährleistet.</w:t>
      </w:r>
    </w:p>
    <w:p>
      <w:r>
        <w:rPr>
          <w:color w:val="555555"/>
          <w:sz w:val="17"/>
        </w:rPr>
        <w:t xml:space="preserve">Zitiervorschlag: Art 138 WRV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Dieses Dokument: https://recht.nulegal.eu/gesetze/WRV/138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