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WRMG — Angabe der Wasserhärtebereiche</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Die Wasserversorgungsunternehmen haben dem Verbraucher den Härtebereich des von ihnen abgegebenen Trinkwassers mindestens einmal jährlich, ferner bei jeder nicht nur vorübergehenden Änderung des Härtebereichs in Form von Aufklebern oder in einer ähnlich wirksamen Weise mitzuteilen.</w:t>
      </w:r>
    </w:p>
    <w:p>
      <w:r>
        <w:t xml:space="preserve">(2) Die Härtebereiche sind wie folgt anzugeben:</w:t>
      </w:r>
    </w:p>
    <w:p>
      <w:r>
        <w:rPr>
          <w:rFonts w:ascii="Courier New" w:hAnsi="Courier New"/>
          <w:sz w:val="17"/>
        </w:rPr>
        <w:t xml:space="preserve">Härtebereich weich    weniger als 1,5 Millimol Calciumcarbonat je Liter,</w:t>
      </w:r>
    </w:p>
    <w:p>
      <w:r>
        <w:rPr>
          <w:rFonts w:ascii="Courier New" w:hAnsi="Courier New"/>
          <w:sz w:val="17"/>
        </w:rPr>
        <w:t xml:space="preserve">Härtebereich mittel    1,5 bis 2,5 Millimol Calciumcarbonat je Liter,</w:t>
      </w:r>
    </w:p>
    <w:p>
      <w:r>
        <w:rPr>
          <w:rFonts w:ascii="Courier New" w:hAnsi="Courier New"/>
          <w:sz w:val="17"/>
        </w:rPr>
        <w:t xml:space="preserve">Härtebereich hart    mehr als 2, 5 Millimol Calciumcarbonat je Liter.</w:t>
      </w:r>
    </w:p>
    <w:p>
      <w:r>
        <w:rPr>
          <w:color w:val="555555"/>
          <w:sz w:val="17"/>
        </w:rPr>
        <w:t xml:space="preserve">Zitiervorschlag: § 9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