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WRMG — Anhörung beteiligter Kreise</w:t>
      </w:r>
    </w:p>
    <w:p>
      <w:r>
        <w:rPr>
          <w:color w:val="555555"/>
          <w:sz w:val="18"/>
        </w:rPr>
        <w:t xml:space="preserve">Wasch- und Reinigungsmittelgesetz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5 Absatz 2 und § 6 ist ein jeweils auszuwählender Kreis von Vertretern der Wasserversorgung und des Gewässerschutzes, der für die Wasserwirtschaft zuständigen obersten Landesbehörden, der Wissenschaft, der Verbraucher sowie der beteiligten Wirtschaft zu hören.</w:t>
      </w:r>
    </w:p>
    <w:p>
      <w:r>
        <w:rPr>
          <w:color w:val="555555"/>
          <w:sz w:val="17"/>
        </w:rPr>
        <w:t xml:space="preserve">Zitiervorschlag: § 7 WRMG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