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WRMG — Behördliche Anordnungen</w:t>
      </w:r>
    </w:p>
    <w:p>
      <w:r>
        <w:rPr>
          <w:color w:val="555555"/>
          <w:sz w:val="18"/>
        </w:rPr>
        <w:t xml:space="preserve">Wasch- und Reinigungsmittelgesetz</w:t>
      </w:r>
    </w:p>
    <w:p>
      <w:r>
        <w:rPr>
          <w:color w:val="555555"/>
          <w:sz w:val="18"/>
        </w:rPr>
        <w:t xml:space="preserve">Stand: 10.06.2019 (konsolidierte Textfassung, kein amtliches Inkrafttretensdatum)</w:t>
      </w:r>
    </w:p>
    <w:p>
      <w:r>
        <w:t xml:space="preserve">(1) Die zuständige Landesbehörde kann im Einzelfall Anordnungen treffen,</w:t>
      </w:r>
    </w:p>
    <w:p>
      <w:pPr>
        <w:ind w:left="420"/>
      </w:pPr>
      <w:r>
        <w:t xml:space="preserve">1. die zur Beseitigung festgestellter oder zur Verhütung künftiger Verstöße gegen die Verordnung (EG) Nr. 648/2004, dieses Gesetz oder nach diesem Gesetz erlassene Rechtsverordnungen notwendig sind, oder</w:t>
      </w:r>
    </w:p>
    <w:p>
      <w:pPr>
        <w:ind w:left="420"/>
      </w:pPr>
      <w:r>
        <w:t xml:space="preserve">2. um die Bereitstellung auf dem Markt von Wasch- und Reinigungsmitteln oder für Wasch- und Reinigungsmittel bestimmten Tensiden, die nicht der Verordnung (EG) Nr. 648/2004, diesem Gesetz oder den nach diesem Gesetz erlassenen Rechtsverordnungen entsprechen, zu verhindern.</w:t>
      </w:r>
    </w:p>
    <w:p>
      <w:r>
        <w:t xml:space="preserve">(2) Besteht berechtigter Grund zu der Annahme, dass ein bestimmtes Wasch- und Reinigungsmittel im Sinne von § 2 Absatz 1 Satz 1 trotz Einhaltung der Vorschriften der Verordnung (EG) Nr. 648/2004 ein Risiko für die Sicherheit oder die Gesundheit von Menschen oder Tieren oder für die Umwelt darstellt, kann das Umweltbundesamt das Inverkehrbringen und die sonstige Bereitstellung auf dem Markt dieses Wasch- und Reinigungsmittels vorläufig untersagen oder besonderen Bedingungen unterwerfen. Besteht ein Risiko für die Sicherheit oder die Gesundheit von Menschen oder Tieren, entscheidet das Umweltbundesamt im Einvernehmen mit dem Bundesinstitut für Risikobewertung. Das Umweltbundesamt unterrichtet unverzüglich die anderen Mitgliedstaaten der Europäischen Union, die Europäische Kommission sowie die für die Überwachung zuständige Landesbehörde unter Angabe der Gründe über die getroffene Entscheidung. Rechtsbehelfe gegen Anordnungen nach Satz 1 haben keine aufschiebende Wirkung. Die Anordnungen nach Satz 1 werden von der jeweils zuständigen Landesbehörde nach den jeweiligen landesrechtlichen Vorschriften über das Verwaltungsvollstreckungsverfahren vollstreckt.</w:t>
      </w:r>
    </w:p>
    <w:p>
      <w:r>
        <w:rPr>
          <w:color w:val="555555"/>
          <w:sz w:val="17"/>
        </w:rPr>
        <w:t xml:space="preserve">Zitiervorschlag: § 14 WRMG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https://recht.nulegal.eu/gesetze/WRMG/14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