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WRMG — Überwachung</w:t>
      </w:r>
    </w:p>
    <w:p>
      <w:r>
        <w:rPr>
          <w:color w:val="555555"/>
          <w:sz w:val="18"/>
        </w:rPr>
        <w:t xml:space="preserve">Wasch- und Reinigungsmittelgesetz</w:t>
      </w:r>
    </w:p>
    <w:p>
      <w:r>
        <w:rPr>
          <w:color w:val="555555"/>
          <w:sz w:val="18"/>
        </w:rPr>
        <w:t xml:space="preserve">Stand: 10.06.2019 (konsolidierte Textfassung, kein amtliches Inkrafttretensdatum)</w:t>
      </w:r>
    </w:p>
    <w:p>
      <w:r>
        <w:t xml:space="preserve">(1) Die zuständige oberste Landesbehörde oder die nach Landesrecht bestimmten Behörden haben die Einhaltung dieses Gesetzes und der auf dieses Gesetz gestützten Rechtsverordnungen zu überwachen, soweit dieses Gesetz keine andere Regelung trifft. Satz 1 gilt auch für die Verordnung (EG) Nr. 648/2004, soweit die Überwachung ihrer Durchführung den Mitgliedstaaten obliegt. § 21a des Chemikaliengesetzes gilt entsprechend.</w:t>
      </w:r>
    </w:p>
    <w:p>
      <w:r>
        <w:t xml:space="preserve">(2) Die zuständige Landesbehörde kann die zur Überwachung notwendigen Proben von Wasch- und Reinigungsmitteln und deren Inhaltsstoffen beim Hersteller oder Händler unentgeltlich entnehmen.</w:t>
      </w:r>
    </w:p>
    <w:p>
      <w:r>
        <w:t xml:space="preserve">(3) Hersteller und Händler haben den von der zuständigen Landesbehörde mit der Überwachung beauftragten Personen das Betreten von Grundstücken, Anlagen und Geschäftsräumen während der üblichen Betriebs- und Geschäftszeit zu gestatten. Außerhalb dieser Zeiten besteht diese Verpflichtung nur, sofern die Probenahme zur Verhütung dringender Gefahren für die öffentliche Sicherheit und Ordnung erforderlich ist. In diesem Falle ist auch das Betreten von Wohnräumen zu gestatten. Das Grundrecht der Unverletzlichkeit der Wohnung (Artikel 13 Absatz 1 des Grundgesetzes) wird durch die Sätze 2 und 3 eingeschränkt.</w:t>
      </w:r>
    </w:p>
    <w:p>
      <w:r>
        <w:t xml:space="preserve">(4) Hersteller und Händler haben auf Verlangen ferner die zur Überwachung notwendigen Auskünfte zu erteilen, die erforderlichen Unterlagen mit Ausnahme der Herstellungsbeschreibungen zur Verfügung zu stellen und technische Ermittlungen und Prüfungen, insbesondere Probeentnahmen, zu gestatten.</w:t>
      </w:r>
    </w:p>
    <w:p>
      <w:r>
        <w:t xml:space="preserve">(5) Der zur Erteilung einer Auskunft Verpflichtete kann die Auskunft auf solche Fragen verweigern, deren Beantwortung ihn selbst oder einen der in § 383 Absatz 1 Nummer 1 bis 3 der Zivilprozessordnung bezeichneten Angehörigen der Gefahr der Verfolgung wegen einer Straftat oder Ordnungswidrigkeit aussetzen würde.</w:t>
      </w:r>
    </w:p>
    <w:p>
      <w:r>
        <w:rPr>
          <w:color w:val="555555"/>
          <w:sz w:val="17"/>
        </w:rPr>
        <w:t xml:space="preserve">Zitiervorschlag: § 13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