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WRMG — Anwendungsbereich</w:t>
      </w:r>
    </w:p>
    <w:p>
      <w:r>
        <w:rPr>
          <w:color w:val="555555"/>
          <w:sz w:val="18"/>
        </w:rPr>
        <w:t xml:space="preserve">Wasch- und Reinigungsmittelgesetz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Dieses Gesetz gilt für das Inverkehrbringen und die sonstige Bereitstellung auf dem Markt von Wasch- und Reinigungsmitteln. Es gilt ergänzend zu der Verordnung (EG) Nr. 648/2004 des Europäischen Parlaments und des Rates vom 31. März 2004 über Detergenzien (ABl. L 104 vom 8.4.2004, S. 1), die zuletzt durch die Verordnung (EU) Nr. 259/2012 (ABl. L 94 vom 30.3.2012, S. 16) geändert worden ist. Die Vorschriften des Chemikaliengesetzes und der aufgrund des Chemikaliengesetzes erlassenen Rechtsverordnungen bleiben unberührt.</w:t>
      </w:r>
    </w:p>
    <w:p>
      <w:r>
        <w:rPr>
          <w:color w:val="555555"/>
          <w:sz w:val="17"/>
        </w:rPr>
        <w:t xml:space="preserve">Zitiervorschlag: § 1 WRMG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https://recht.nulegal.eu/gesetze/WRMG/1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