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WPrüfG (Brandenburg) — Entscheidung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Entscheidung des Landtages kann nur lauten auf Zurückweisung des Einspruchs oder</w:t>
      </w:r>
    </w:p>
    <w:p>
      <w:r>
        <w:t xml:space="preserve">im Falle des § 4 Nr. 1 auf rechnerische Richtigstellung und Anordnung der Neufeststellung des Wahlergebnisses,</w:t>
      </w:r>
    </w:p>
    <w:p>
      <w:r>
        <w:t xml:space="preserve">im Falle des § 4 Nr. 2 auf Erklärung der Gültigkeit oder Ungültigkeit einer bestimmten Anzahl von Stimmzetteln und Anordnung der Neufeststellung des Wahlergebnisses,</w:t>
      </w:r>
    </w:p>
    <w:p>
      <w:r>
        <w:t xml:space="preserve">im Falle des § 4 Nr. 3 und 4 auf Ungültigkeit der Wahl im betreffenden Wahlgebiet,</w:t>
      </w:r>
    </w:p>
    <w:p>
      <w:r>
        <w:t xml:space="preserve">im Falle des § 4 Nr. 5 auf Aufhebung der Bestätigung der Verzichtserklärung durch den Präsidenten des Landtages oder der Entscheidung des Landtages,</w:t>
      </w:r>
    </w:p>
    <w:p>
      <w:r>
        <w:t xml:space="preserve">im Falle des § 4 Nr. 6 auf Feststellung, dass die Berufung unwirksam ist,</w:t>
      </w:r>
    </w:p>
    <w:p>
      <w:r>
        <w:t xml:space="preserve">im Falle des § 4 Nr. 7 auf Feststellung, dass der Abgeordnete seine Mitgliedschaft verloren hat.</w:t>
      </w:r>
    </w:p>
    <w:p>
      <w:r>
        <w:rPr>
          <w:color w:val="555555"/>
          <w:sz w:val="17"/>
        </w:rPr>
        <w:t xml:space="preserve">Zitiervorschlag: § 9 WPrüfG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