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WPrüfG (Brandenburg) — Beschluss des Wahlprüfungsausschusses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Beschluss des Ausschusses ist schriftlich unter Angabe der Gründe niederzulegen; der Beschluss muss einen Entscheidungsvorschlag enthalten.</w:t>
      </w:r>
    </w:p>
    <w:p>
      <w:r>
        <w:t xml:space="preserve">(2) Der Beschluss ist spätestens drei Tage vor der Beratung im Landtag an alle Abgeordneten zu verteilen.</w:t>
      </w:r>
    </w:p>
    <w:p>
      <w:r>
        <w:rPr>
          <w:color w:val="555555"/>
          <w:sz w:val="17"/>
        </w:rPr>
        <w:t xml:space="preserve">Zitiervorschlag: § 7 WPrüfG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https://recht.nulegal.eu/gesetze/WPr%C3%BCfG/7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