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WPrüfG (Brandenburg) — Kosten des Verfahrens</w:t>
      </w:r>
    </w:p>
    <w:p>
      <w:r>
        <w:rPr>
          <w:color w:val="555555"/>
          <w:sz w:val="18"/>
        </w:rPr>
        <w:t xml:space="preserve">Wahlprüfungsgesetz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Im Wahlprüfungsverfahren werden Kosten nicht erhoben. Die Beteiligten haben keinen Anspruch auf Erstattung von Auslagen. Über Ausnahmen von Satz 2 entscheidet der Wahlprüfungsausschuss.</w:t>
      </w:r>
    </w:p>
    <w:p>
      <w:r>
        <w:rPr>
          <w:color w:val="555555"/>
          <w:sz w:val="17"/>
        </w:rPr>
        <w:t xml:space="preserve">Zitiervorschlag: § 14 WPrüfG (Brandenburg)</w:t>
      </w:r>
    </w:p>
    <w:p>
      <w:r>
        <w:rPr>
          <w:color w:val="555555"/>
          <w:sz w:val="17"/>
        </w:rPr>
        <w:t xml:space="preserve">Quelle: bravors, abgerufen 30.07.2026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https://recht.nulegal.eu/gesetze/WPr%C3%BCfG/14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