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WPersAV</w:t>
      </w:r>
    </w:p>
    <w:p>
      <w:r>
        <w:rPr>
          <w:color w:val="555555"/>
          <w:sz w:val="18"/>
        </w:rPr>
        <w:t xml:space="preserve">Personalaktenverordnung Wehrpflichtige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27 und 50 Abs. 1 Nr. 7 des Wehrpflichtgesetzes in der Fassung der Bekanntmachung vom 15. Dezember 1995 (BGBl. I S. 1756) verordnet die Bundesregierung:</w:t>
      </w:r>
    </w:p>
    <w:p>
      <w:r>
        <w:rPr>
          <w:color w:val="555555"/>
          <w:sz w:val="17"/>
        </w:rPr>
        <w:t xml:space="preserve">Zitiervorschlag: Eingangsformel WPersAV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https://recht.nulegal.eu/gesetze/WPersAV/eingangsformel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