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WPersAV</w:t>
      </w:r>
    </w:p>
    <w:p>
      <w:r>
        <w:rPr>
          <w:color w:val="555555"/>
          <w:sz w:val="18"/>
        </w:rPr>
        <w:t xml:space="preserve">Personalaktenverordnung Wehrpflichtige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Verordnung regelt Einzelheiten zum Personalaktenrecht der ungedienten Wehrpflichtigen nach § 25 des Wehrpflichtgesetzes. Als Wehrpflichtiger im Sinne dieser Verordnung gelten auch die vor Beginn der Wehrpflicht Erfaßten.</w:t>
      </w:r>
    </w:p>
    <w:p>
      <w:r>
        <w:rPr>
          <w:color w:val="555555"/>
          <w:sz w:val="17"/>
        </w:rPr>
        <w:t xml:space="preserve">Zitiervorschlag: § 1 WPersAV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https://recht.nulegal.eu/gesetze/WPersAV/1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