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9c WPapG — Elektronische Wertpapiere nach ausländischem Recht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15.12.2023 (konsolidierte Textfassung, kein amtliches Inkrafttretensdatum)</w:t>
      </w:r>
    </w:p>
    <w:p>
      <w:r>
        <w:t xml:space="preserve">(1) Elektronisch begebene, vertretbare Wertpapiere, die nach ausländischem Recht begeben und von einer Wertpapiersammelbank nach § 5 Absatz 1 zur Sammelverwahrung zugelassen sind, gelten als Sammelbestand. Die Berechtigten an diesen Wertpapieren gelten als Miteigentümer nach Bruchteilen. Die Vorschriften dieses Gesetzes über Sammelverwahrung und Sammelbestandanteile gelten sinngemäß, soweit nicht Absatz 2 etwas anderes bestimmt.</w:t>
      </w:r>
    </w:p>
    <w:p>
      <w:r>
        <w:t xml:space="preserve">(2) Die §§ 7, 8 und 9a finden keine Anwendung.</w:t>
      </w:r>
    </w:p>
    <w:p>
      <w:r>
        <w:rPr>
          <w:color w:val="555555"/>
          <w:sz w:val="17"/>
        </w:rPr>
        <w:t xml:space="preserve">Zitiervorschlag: § 9c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