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WPapG — Ansprüche der Miteigentümer und sonstiger dinglich Berechtigter bei der Sammelverwahrung</w:t>
      </w:r>
    </w:p>
    <w:p>
      <w:r>
        <w:rPr>
          <w:color w:val="555555"/>
          <w:sz w:val="18"/>
        </w:rPr>
        <w:t xml:space="preserve">Depotgesetz</w:t>
      </w:r>
    </w:p>
    <w:p>
      <w:r>
        <w:rPr>
          <w:color w:val="555555"/>
          <w:sz w:val="18"/>
        </w:rPr>
        <w:t xml:space="preserve">Stand: 11.06.2021 (konsolidierte Textfassung, kein amtliches Inkrafttretensdatum)</w:t>
      </w:r>
    </w:p>
    <w:p>
      <w:r>
        <w:t xml:space="preserve">Die für Ansprüche des Hinterlegers geltenden Vorschriften von § 6 Absatz 2 und 3 Satz 1, § 7 sind sinngemäß auf Ansprüche eines jeden Miteigentümers oder sonst dinglich Berechtigten anzuwenden.</w:t>
      </w:r>
    </w:p>
    <w:p>
      <w:r>
        <w:rPr>
          <w:color w:val="555555"/>
          <w:sz w:val="17"/>
        </w:rPr>
        <w:t xml:space="preserve">Zitiervorschlag: § 8 WPapG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https://recht.nulegal.eu/gesetze/WPapG/8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