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WPapG — Übergangsregelung zum Ersten Finanzmarktnovellierungsgesetz</w:t>
      </w:r>
    </w:p>
    <w:p>
      <w:r>
        <w:rPr>
          <w:color w:val="555555"/>
          <w:sz w:val="18"/>
        </w:rPr>
        <w:t xml:space="preserve">Depotgesetz</w:t>
      </w:r>
    </w:p>
    <w:p>
      <w:r>
        <w:rPr>
          <w:color w:val="555555"/>
          <w:sz w:val="18"/>
        </w:rPr>
        <w:t xml:space="preserve">Stand: 10.06.2019 (konsolidierte Textfassung, kein amtliches Inkrafttretensdatum)</w:t>
      </w:r>
    </w:p>
    <w:p>
      <w:r>
        <w:t xml:space="preserve">Ein Kreditinstitut, das am Tag, den die Bundesregierung nach Artikel 17 Absatz 3 Satz 2 des Gesetzes vom 30. Juni 2016 (BGBl. I S. 1514) im Bundesgesetzblatt bekannt gibt, über eine Anerkennung als Wertpapiersammelbank von der nach Landesrecht zuständigen Stelle des Landes, in dessen Gebiet das Kreditinstitut seinen Sitz hat, verfügt, gilt bis zur Bestandskraft der Entscheidung über den Antrag auf Zulassung als Zentralverwahrer nach Artikel 17 Absatz 1 der Verordnung (EU) Nr. 909/2014 weiterhin als Wertpapiersammelbank im Sinne dieses Gesetzes.</w:t>
      </w:r>
    </w:p>
    <w:p>
      <w:r>
        <w:rPr>
          <w:color w:val="555555"/>
          <w:sz w:val="17"/>
        </w:rPr>
        <w:t xml:space="preserve">Zitiervorschlag: § 43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