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WPapG — Depotunterschlagung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Wer, abgesehen von den Fällen der §§ 246 und 266 des Strafgesetzbuchs, eigenen oder fremden Vorteils wegen</w:t>
      </w:r>
    </w:p>
    <w:p>
      <w:pPr>
        <w:ind w:left="420"/>
      </w:pPr>
      <w:r>
        <w:t xml:space="preserve">1. über ein Wertpapier der in § 1 Abs. 1 bezeichneten Art, das ihm als Verwahrer oder Pfandgläubiger anvertraut worden ist oder das er als Kommissionär für den Kommittenten im Besitz hat oder das er im Falle des § 31 für den Kunden im Besitz hat, rechtswidrig verfügt,</w:t>
      </w:r>
    </w:p>
    <w:p>
      <w:pPr>
        <w:ind w:left="420"/>
      </w:pPr>
      <w:r>
        <w:t xml:space="preserve">2. einen Sammelbestand solcher Wertpapiere oder den Anteil an einem solchen Bestand dem § 6 Absatz 3 Satz 2 zuwider verringert oder darüber rechtswidrig verfügt,</w:t>
      </w:r>
    </w:p>
    <w:p>
      <w:r>
        <w:t xml:space="preserve">wird mit Freiheitsstrafe bis zu fünf Jahren oder mit Geldstrafe bestraft.</w:t>
      </w:r>
    </w:p>
    <w:p>
      <w:r>
        <w:rPr>
          <w:color w:val="555555"/>
          <w:sz w:val="17"/>
        </w:rPr>
        <w:t xml:space="preserve">Zitiervorschlag: § 34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