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WPapG — Drittverwahrung</w:t>
      </w:r>
    </w:p>
    <w:p>
      <w:r>
        <w:rPr>
          <w:color w:val="555555"/>
          <w:sz w:val="18"/>
        </w:rPr>
        <w:t xml:space="preserve">Depotgesetz</w:t>
      </w:r>
    </w:p>
    <w:p>
      <w:r>
        <w:rPr>
          <w:color w:val="555555"/>
          <w:sz w:val="18"/>
        </w:rPr>
        <w:t xml:space="preserve">Stand: 10.06.2019 (konsolidierte Textfassung, kein amtliches Inkrafttretensdatum)</w:t>
      </w:r>
    </w:p>
    <w:p>
      <w:r>
        <w:t xml:space="preserve">(1) Der Verwahrer ist berechtigt, die Wertpapiere unter seinem Namen einem anderen Verwahrer zur Verwahrung anzuvertrauen. Zweigstellen eines Verwahrers gelten sowohl untereinander als auch in ihrem Verhältnis zur Hauptstelle als verschiedene Verwahrer im Sinne dieser Vorschrift.</w:t>
      </w:r>
    </w:p>
    <w:p>
      <w:r>
        <w:t xml:space="preserve">(2) Der Verwahrer, der Wertpapiere von einem anderen Verwahrer verwahren läßt (Zwischenverwahrer), haftet für ein Verschulden des Drittverwahrers wie für eigenes Verschulden. Für die Beobachtung der erforderlichen Sorgfalt bei der Auswahl des Drittverwahrers bleibt er auch dann verantwortlich, wenn ihm die Haftung für ein Verschulden des Drittverwahrers durch Vertrag erlassen worden ist, es sei denn, daß die Papiere auf ausdrückliche Weisung des Hinterlegers bei einem bestimmten Drittverwahrer verwahrt werden.</w:t>
      </w:r>
    </w:p>
    <w:p>
      <w:r>
        <w:rPr>
          <w:color w:val="555555"/>
          <w:sz w:val="17"/>
        </w:rPr>
        <w:t xml:space="preserve">Zitiervorschlag: § 3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