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WPapG — Rechte des Kommittenten bei Nichtübersendung des Stückeverzeichnisses</w:t>
      </w:r>
    </w:p>
    <w:p>
      <w:r>
        <w:rPr>
          <w:color w:val="555555"/>
          <w:sz w:val="18"/>
        </w:rPr>
        <w:t xml:space="preserve">Depotgesetz</w:t>
      </w:r>
    </w:p>
    <w:p>
      <w:r>
        <w:rPr>
          <w:color w:val="555555"/>
          <w:sz w:val="18"/>
        </w:rPr>
        <w:t xml:space="preserve">Stand: 10.06.2019 (konsolidierte Textfassung, kein amtliches Inkrafttretensdatum)</w:t>
      </w:r>
    </w:p>
    <w:p>
      <w:r>
        <w:t xml:space="preserve">(1) Unterläßt der Kommissionär, ohne hierzu nach den §§ 19 bis 24 befugt zu sein, die Übersendung des Stückeverzeichnisses und holt er das Versäumte auf eine nach Ablauf der Frist zur Übersendung des Stückeverzeichnisses an ihn ergangene Aufforderung des Kommittenten nicht binnen drei Tagen nach, so ist der Kommittent berechtigt, das Geschäft als nicht für seine Rechnung abgeschlossen zurückzuweisen und Schadensersatz wegen Nichterfüllung zu beanspruchen. Dies gilt nicht, wenn die Unterlassung auf einem Umstand beruht, den der Kommissionär nicht zu vertreten hat.</w:t>
      </w:r>
    </w:p>
    <w:p>
      <w:r>
        <w:t xml:space="preserve">(2) Die Aufforderung des Kommittenten verliert ihre Wirkung, wenn er dem Kommissionär nicht binnen drei Tagen nach dem Ablauf der Nachholungsfrist erklärt, daß er von dem in Absatz 1 bezeichneten Recht Gebrauch machen wolle.</w:t>
      </w:r>
    </w:p>
    <w:p>
      <w:r>
        <w:rPr>
          <w:color w:val="555555"/>
          <w:sz w:val="17"/>
        </w:rPr>
        <w:t xml:space="preserve">Zitiervorschlag: § 25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