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WPapG — Erfüllung durch Übertragung von Miteigentum am Sammelbestand</w:t>
      </w:r>
    </w:p>
    <w:p>
      <w:r>
        <w:rPr>
          <w:color w:val="555555"/>
          <w:sz w:val="18"/>
        </w:rPr>
        <w:t xml:space="preserve">Depotgesetz</w:t>
      </w:r>
    </w:p>
    <w:p>
      <w:r>
        <w:rPr>
          <w:color w:val="555555"/>
          <w:sz w:val="18"/>
        </w:rPr>
        <w:t xml:space="preserve">Stand: 01.01.2025 (konsolidierte Textfassung, kein amtliches Inkrafttretensdatum)</w:t>
      </w:r>
    </w:p>
    <w:p>
      <w:r>
        <w:t xml:space="preserve">(1) Der Kommissionär kann sich von seiner Verpflichtung, dem Kommittenten Eigentum an bestimmten Stücken zu verschaffen, dadurch befreien, daß er ihm Miteigentum an den zum Sammelbestand einer Wertpapiersammelbank gehörenden Wertpapieren verschafft; durch Verschaffung von Miteigentum an den zum Sammelbestand eines anderen Verwahrers gehörenden Wertpapieren kann er sich nur befreien, wenn der Kommittent im einzelnen Falle ausdrücklich und in Textform zustimmt.</w:t>
      </w:r>
    </w:p>
    <w:p>
      <w:r>
        <w:t xml:space="preserve">(2) Mit der Eintragung des Übertragungsvermerks im Verwahrungsbuch des Kommissionärs geht, soweit der Kommissionär verfügungsberechtigt ist, das Miteigentum auf den Kommittenten über, wenn es nicht nach den Bestimmungen des bürgerlichen Rechts schon früher auf ihn übergegangen ist. Der Kommissionär hat dem Kommittenten die Verschaffung des Miteigentums unverzüglich mitzuteilen.</w:t>
      </w:r>
    </w:p>
    <w:p>
      <w:r>
        <w:t xml:space="preserve">(3) Kreditinstitute, Wertpapierinstitute und Kapitalverwaltungsgesellschaften brauchen die Verschaffung des Miteigentums an einem Wertpapiersammelbestand und die Ausführung der Geschäftsbesorgung abweichend von Absatz 2 Satz 2 sowie von den §§ 675 und 666 des Bürgerlichen Gesetzbuchs und von § 384 Abs. 2 des Handelsgesetzbuchs den Kunden erst innerhalb von dreizehn Monaten mitzuteilen, sofern das Miteigentum jeweils auf Grund einer vertraglich vereinbarten gleichbleibenden monatlichen, zweimonatlichen oder vierteljährlichen Zahlung erworben wird und diese Zahlungen jährlich das Dreifache des höchsten Betrags nicht übersteigen, bis zu dem nach dem Fünften Vermögensbildungsgesetz in der jeweils geltenden Fassung vermögenswirksame Leistungen gefördert werden können.</w:t>
      </w:r>
    </w:p>
    <w:p>
      <w:r>
        <w:rPr>
          <w:color w:val="555555"/>
          <w:sz w:val="17"/>
        </w:rPr>
        <w:t xml:space="preserve">Zitiervorschlag: § 24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