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WPapG — Befreiung von der Übersendung des Stückeverzeichnisses</w:t>
      </w:r>
    </w:p>
    <w:p>
      <w:r>
        <w:rPr>
          <w:color w:val="555555"/>
          <w:sz w:val="18"/>
        </w:rPr>
        <w:t xml:space="preserve">Depotgesetz</w:t>
      </w:r>
    </w:p>
    <w:p>
      <w:r>
        <w:rPr>
          <w:color w:val="555555"/>
          <w:sz w:val="18"/>
        </w:rPr>
        <w:t xml:space="preserve">Stand: 10.06.2019 (konsolidierte Textfassung, kein amtliches Inkrafttretensdatum)</w:t>
      </w:r>
    </w:p>
    <w:p>
      <w:r>
        <w:t xml:space="preserve">Die Übersendung des Stückeverzeichnisses kann unterbleiben, soweit innerhalb der dafür bestimmten Frist (§§ 18 bis 22) die Wertpapiere dem Kommittenten ausgeliefert sind oder ein Auftrag des Kommittenten zur Wiederveräußerung ausgeführt ist.</w:t>
      </w:r>
    </w:p>
    <w:p>
      <w:r>
        <w:rPr>
          <w:color w:val="555555"/>
          <w:sz w:val="17"/>
        </w:rPr>
        <w:t xml:space="preserve">Zitiervorschlag: § 23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