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WPapG — Befugnis zur Aussetzung und Befugnis zur Übersendung auf Verlangen</w:t>
      </w:r>
    </w:p>
    <w:p>
      <w:r>
        <w:rPr>
          <w:color w:val="555555"/>
          <w:sz w:val="18"/>
        </w:rPr>
        <w:t xml:space="preserve">Depotgesetz</w:t>
      </w:r>
    </w:p>
    <w:p>
      <w:r>
        <w:rPr>
          <w:color w:val="555555"/>
          <w:sz w:val="18"/>
        </w:rPr>
        <w:t xml:space="preserve">Stand: 01.01.2025 (konsolidierte Textfassung, kein amtliches Inkrafttretensdatum)</w:t>
      </w:r>
    </w:p>
    <w:p>
      <w:r>
        <w:t xml:space="preserve">Will der Kommissionär die Übersendung des Stückeverzeichnisses sowohl deshalb aussetzen, weil er wegen seiner Forderungen nicht befriedigt ist (§ 19), als auch deshalb, weil er sich die Aussetzung mit Rücksicht auf die Besonderheit des Kontokorrentverkehrs mit dem Kommittenten vorbehalten hat (§ 20), so hat er dem Kommittenten bei Erstattung der Ausführungsanzeige in Textform mitzuteilen, daß er die Übersendung des Stückeverzeichnisses und damit die Übertragung des Eigentums an den Papieren erst auf Verlangen des Kommittenten, frühestens jedoch nach Befriedigung wegen seiner Forderungen aus der Ausführung des Auftrags ausführen werde.</w:t>
      </w:r>
    </w:p>
    <w:p>
      <w:r>
        <w:rPr>
          <w:color w:val="555555"/>
          <w:sz w:val="17"/>
        </w:rPr>
        <w:t xml:space="preserve">Zitiervorschlag: § 21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