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WPapG — Sonderverwahrung</w:t>
      </w:r>
    </w:p>
    <w:p>
      <w:r>
        <w:rPr>
          <w:color w:val="555555"/>
          <w:sz w:val="18"/>
        </w:rPr>
        <w:t xml:space="preserve">Depotgesetz</w:t>
      </w:r>
    </w:p>
    <w:p>
      <w:r>
        <w:rPr>
          <w:color w:val="555555"/>
          <w:sz w:val="18"/>
        </w:rPr>
        <w:t xml:space="preserve">Stand: 10.06.2019 (konsolidierte Textfassung, kein amtliches Inkrafttretensdatum)</w:t>
      </w:r>
    </w:p>
    <w:p>
      <w:r>
        <w:t xml:space="preserve">Der Verwahrer ist verpflichtet, die Wertpapiere unter äußerlich erkennbarer Bezeichnung jedes Hinterlegers gesondert von seinen eigenen Beständen und von denen Dritter aufzubewahren, wenn es sich um Wertpapiere handelt, die nicht zur Sammelverwahrung durch eine Wertpapiersammelbank zugelassen sind, oder wenn der Hinterleger die gesonderte Aufbewahrung verlangt. Etwaige Rechte und Pflichten des Verwahrers, für den Hinterleger Verfügungen oder Verwaltungshandlungen vorzunehmen, werden dadurch nicht berührt.</w:t>
      </w:r>
    </w:p>
    <w:p>
      <w:r>
        <w:rPr>
          <w:color w:val="555555"/>
          <w:sz w:val="17"/>
        </w:rPr>
        <w:t xml:space="preserve">Zitiervorschlag: § 2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