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WPapG — Aussetzung der Übersendung des Stückeverzeichnisses</w:t>
      </w:r>
    </w:p>
    <w:p>
      <w:r>
        <w:rPr>
          <w:color w:val="555555"/>
          <w:sz w:val="18"/>
        </w:rPr>
        <w:t xml:space="preserve">Depotgesetz</w:t>
      </w:r>
    </w:p>
    <w:p>
      <w:r>
        <w:rPr>
          <w:color w:val="555555"/>
          <w:sz w:val="18"/>
        </w:rPr>
        <w:t xml:space="preserve">Stand: 01.01.2025 (konsolidierte Textfassung, kein amtliches Inkrafttretensdatum)</w:t>
      </w:r>
    </w:p>
    <w:p>
      <w:r>
        <w:t xml:space="preserve">(1) Der Kommissionär darf die Übersendung des Stückeverzeichnisses aussetzen, wenn er wegen der Forderungen, die ihm aus der Ausführung des Auftrags zustehen, nicht befriedigt ist und auch nicht Stundung bewilligt hat. Als Stundung gilt nicht die Einstellung des Kaufpreises ins Kontokorrent.</w:t>
      </w:r>
    </w:p>
    <w:p>
      <w:r>
        <w:t xml:space="preserve">(2) Der Kommissionär kann von der Befugnis des Absatzes 1 nur Gebrauch machen, wenn er dem Kommittenten erklärt, daß er die Übersendung des Stückeverzeichnisses und damit die Übertragung des Eigentums an den Papieren bis zur Befriedigung wegen seiner Forderungen aus der Ausführung des Auftrags aussetzen werde. Die Erklärung muß, für das einzelne Geschäft gesondert, ausdrücklich und in Textform abgegeben und binnen einer Woche nach Erstattung der Ausführungsanzeige abgesandt werden, sie darf nicht auf andere Urkunden verweisen.</w:t>
      </w:r>
    </w:p>
    <w:p>
      <w:r>
        <w:t xml:space="preserve">(3) Macht der Kommissionär von der Befugnis des Absatzes 1 Gebrauch, so beginnt die Frist zur Übersendung des Stückeverzeichnisses frühestens mit dem Zeitpunkt, in dem der Kommissionär wegen seiner Forderungen aus der Ausführung des Auftrags befriedigt wird.</w:t>
      </w:r>
    </w:p>
    <w:p>
      <w:r>
        <w:t xml:space="preserve">(4) Stehen die Parteien miteinander im Kontokorrentverkehr (§ 355 des Handelsgesetzbuchs), so gilt der Kommissionär wegen der ihm aus der Ausführung des Auftrags zustehenden Forderungen als befriedigt, sobald die Summe der Habenposten die der Sollposten zum erstenmal erreicht oder übersteigt. Hierbei sind alle Posten zu berücksichtigen, die mit Wertstellung auf denselben Tag zu buchen waren. Führt der Kommissionär für den Kommittenten mehrere Konten, so ist das Konto, auf dem das Kommissionsgeschäft zu buchen war, allein maßgebend.</w:t>
      </w:r>
    </w:p>
    <w:p>
      <w:r>
        <w:t xml:space="preserve">(5) Ist der Kommissionär teilweise befriedigt, so darf er die Übersendung des Stückeverzeichnisses nicht aussetzen, wenn die Aussetzung nach den Umständen, insbesondere wegen verhältnismäßiger Geringfügigkeit des rückständigen Teils, gegen Treu und Glauben verstoßen würde.</w:t>
      </w:r>
    </w:p>
    <w:p>
      <w:r>
        <w:rPr>
          <w:color w:val="555555"/>
          <w:sz w:val="17"/>
        </w:rPr>
        <w:t xml:space="preserve">Zitiervorschlag: § 19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