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WPapG — Befreiung von Formvorschriften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Formvorschriften des § 4 Abs. 2, des § 5 Abs. 1 Satz 2 und 3 und der §§ 10, 12, 13 und 15 Abs. 2 und 3 sind nicht anzuwenden, wenn der Verwahrer einer gesetzlichen Aufsicht untersteht und der Hinterleger ein Kaufmann ist, der</w:t>
      </w:r>
    </w:p>
    <w:p>
      <w:pPr>
        <w:ind w:left="420"/>
      </w:pPr>
      <w:r>
        <w:t xml:space="preserve">1. in das Handelsregister oder Genossenschaftsregister eingetragen ist oder</w:t>
      </w:r>
    </w:p>
    <w:p>
      <w:pPr>
        <w:ind w:left="420"/>
      </w:pPr>
      <w:r>
        <w:t xml:space="preserve">2. im Falle einer juristischen Person des öffentlichen Rechts nach der für sie maßgebenden gesetzlichen Regelung, nicht eingetragen zu werden braucht oder</w:t>
      </w:r>
    </w:p>
    <w:p>
      <w:pPr>
        <w:ind w:left="420"/>
      </w:pPr>
      <w:r>
        <w:t xml:space="preserve">3. nicht eingetragen wird, weil er seinen Sitz oder seine Hauptniederlassung im Ausland hat.</w:t>
      </w:r>
    </w:p>
    <w:p>
      <w:r>
        <w:rPr>
          <w:color w:val="555555"/>
          <w:sz w:val="17"/>
        </w:rPr>
        <w:t xml:space="preserve">Zitiervorschlag: § 16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