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WPapG — Verpfändung als Sicherheit für Verbindlichkeiten aus Börsengeschäften</w:t>
      </w:r>
    </w:p>
    <w:p>
      <w:r>
        <w:rPr>
          <w:color w:val="555555"/>
          <w:sz w:val="18"/>
        </w:rPr>
        <w:t xml:space="preserve">Depotgesetz</w:t>
      </w:r>
    </w:p>
    <w:p>
      <w:r>
        <w:rPr>
          <w:color w:val="555555"/>
          <w:sz w:val="18"/>
        </w:rPr>
        <w:t xml:space="preserve">Stand: 01.01.2025 (konsolidierte Textfassung, kein amtliches Inkrafttretensdatum)</w:t>
      </w:r>
    </w:p>
    <w:p>
      <w:r>
        <w:t xml:space="preserve">(1) Abweichend von § 12 darf der Verwahrer die Wertpapiere oder Sammelbestandanteile auf Grund einer ausdrücklichen und in Textform verfassten Ermächtigung als Sicherheit für seine Verbindlichkeiten aus Geschäften an einer Börse, die einer gesetzlichen Aufsicht untersteht, an diese Börse, deren Träger oder eine von ihr mit der Abwicklung der Geschäfte unter ihrer Aufsicht beauftragte rechtsfähige Stelle, deren Geschäftsbetrieb auf diese Tätigkeit beschränkt ist, verpfänden, sofern aus einem inhaltsgleichen Geschäft des Hinterlegers mit dem Verwahrer Verbindlichkeiten des Hinterlegers bestehen. Der Wert der verpfändeten Wertpapiere oder Sammelbestandanteile soll die Höhe der Verbindlichkeiten des Hinterlegers gegenüber dem Verwahrer aus diesem Geschäft nicht unangemessen übersteigen. Die Ermächtigung des Hinterlegers nach Satz 1 kann im voraus für eine unbestimmte Zahl derartige Verpfändungen erteilt werden.</w:t>
      </w:r>
    </w:p>
    <w:p>
      <w:r>
        <w:t xml:space="preserve">(2) Der Verwahrer muß gegenüber dem Pfandgläubiger sicherstellen, daß die verpfändeten Wertpapiere oder Sammelbestandanteile für seine in Absatz 1 genannten Verbindlichkeiten nur insoweit in Anspruch genommen werden dürfen, als Verbindlichkeiten des Hinterlegers gegenüber dem Verwahrer nach Absatz 1 bestehen. Der Verwahrer haftet für ein Verschulden des Pfandgläubigers wie für eigenes Verschulden; diese Haftung kann durch Vereinbarung nicht beschränkt werden.</w:t>
      </w:r>
    </w:p>
    <w:p>
      <w:r>
        <w:rPr>
          <w:color w:val="555555"/>
          <w:sz w:val="17"/>
        </w:rPr>
        <w:t xml:space="preserve">Zitiervorschlag: § 12a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https://recht.nulegal.eu/gesetze/WPapG/12a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