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WPapBerSchlG</w:t>
      </w:r>
    </w:p>
    <w:p>
      <w:r>
        <w:rPr>
          <w:color w:val="555555"/>
          <w:sz w:val="18"/>
        </w:rPr>
        <w:t xml:space="preserve">Wertpapierbereinigungsschlußgesetz</w:t>
      </w:r>
    </w:p>
    <w:p>
      <w:r>
        <w:rPr>
          <w:color w:val="555555"/>
          <w:sz w:val="18"/>
        </w:rPr>
        <w:t xml:space="preserve">Stand: 10.06.2019 (konsolidierte Textfassung, kein amtliches Inkrafttretensdatum)</w:t>
      </w:r>
    </w:p>
    <w:p>
      <w:r>
        <w:t xml:space="preserve">Die Landesregierungen werden ermächtigt, durch Rechtsverordnung die Aufgaben der nach § 29 des Wertpapierbereinigungsgesetzes gebildeten Kammern für Wertpapierbereinigung den Kammern für Handelssachen zu übertragen, sofern die Aufrechterhaltung der Kammern für Wertpapierbereinigung wegen des Rückgangs ihrer Aufgaben nicht mehr gerechtfertigt ist. Die Landesregierungen können die Ermächtigung auf die Landesjustizverwaltungen übertragen.</w:t>
      </w:r>
    </w:p>
    <w:p>
      <w:r>
        <w:rPr>
          <w:color w:val="555555"/>
          <w:sz w:val="17"/>
        </w:rPr>
        <w:t xml:space="preserve">Zitiervorschlag: § 37 WPapBerSchlG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https://recht.nulegal.eu/gesetze/WPapBerSchlG/37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WPapBerSchlG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