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WPUntG (Sachsen) — Zweck des Gesetzes</w:t>
      </w:r>
    </w:p>
    <w:p>
      <w:r>
        <w:rPr>
          <w:color w:val="555555"/>
          <w:sz w:val="18"/>
        </w:rPr>
        <w:t xml:space="preserve">Sächsisches Wärmeplanungsunterstützungsgesetz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Zweck dieses Gesetzes ist die Regelung des finanziellen Ausgleichs zur Durchführung der Wärmeplanung und der Datenbereitstellung nach Teil 2 des Wärmeplanungsgesetzes in Verbindung mit der Sächsischen Wärmeplanungsverordnung .</w:t>
      </w:r>
    </w:p>
    <w:p>
      <w:r>
        <w:rPr>
          <w:color w:val="555555"/>
          <w:sz w:val="17"/>
        </w:rPr>
        <w:t xml:space="preserve">Zitiervorschlag: § 1 WPUntG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https://recht.nulegal.eu/gesetze/WPUntG/1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