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34a WPG — Übergangsbestimmung</w:t>
      </w:r>
    </w:p>
    <w:p>
      <w:r>
        <w:rPr>
          <w:color w:val="555555"/>
          <w:sz w:val="18"/>
        </w:rPr>
        <w:t xml:space="preserve">Wärmeplanungsgesetz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§ 11 Absatz 4 Satz 1 ist erst anzuwenden, wenn eine auf der Grundlage von § 4 Absatz 3 und § 5 Absatz 1 des KRITIS-Dachgesetzes erlassene Rechtsverordnung gilt. Bis zur Geltung dieser Rechtsverordnung ist § 11 Absatz 4 Satz 1 in der bis einschließlich 16. März 2026 geltenden Fassung weiter anzuwenden.</w:t>
      </w:r>
    </w:p>
    <w:p>
      <w:r>
        <w:rPr>
          <w:color w:val="555555"/>
          <w:sz w:val="17"/>
        </w:rPr>
        <w:t xml:space="preserve">Zitiervorschlag: § 34a 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https://recht.nulegal.eu/gesetze/WPG/34a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