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WPG — Transformation von Gasverteilernetzen</w:t>
      </w:r>
    </w:p>
    <w:p>
      <w:r>
        <w:rPr>
          <w:color w:val="555555"/>
          <w:sz w:val="18"/>
        </w:rPr>
        <w:t xml:space="preserve">Wärmeplanungsgesetz</w:t>
      </w:r>
    </w:p>
    <w:p>
      <w:r>
        <w:rPr>
          <w:color w:val="555555"/>
          <w:sz w:val="18"/>
        </w:rPr>
        <w:t xml:space="preserve">Stand: 06.08.2026 (konsolidierte Textfassung, kein amtliches Inkrafttretensdatum)</w:t>
      </w:r>
    </w:p>
    <w:p>
      <w:r>
        <w:t xml:space="preserve">(1) Die planungsverantwortliche Stelle bestimmt für jedes beplante Teilgebiet, das nach § 18 Absatz 1 als Prüfgebiet nach § 3 Absatz 1 Nummer 10 ausgewiesen wurde und in dem ein Gasverteilernetz besteht oder ein künftiges Gasverteilernetz geplant ist, die Eignung für eine Versorgung mit grünem Methan im Zieljahr und stellt hierzu die Eignungsstufe entsprechend § 19 Absatz 2 Satz 2 dar. Die Einteilung in eine Eignungsstufe im Sinne von § 19 Absatz 2 Satz 2 Nummer 1 oder Nummer 2 setzt voraus, dass die Versorgung im Zieljahr mit grünem Methan insbesondere</w:t>
      </w:r>
    </w:p>
    <w:p>
      <w:pPr>
        <w:ind w:left="420"/>
      </w:pPr>
      <w:r>
        <w:t xml:space="preserve">1. in Übereinstimmung mit den Netzentwicklungsplänen der Fernleitungsebene und den Planungen der Betreiber der vorgelagerten Gasverteilernetzen steht oder</w:t>
      </w:r>
    </w:p>
    <w:p>
      <w:pPr>
        <w:ind w:left="420"/>
      </w:pPr>
      <w:r>
        <w:t xml:space="preserve">2. der Betreiber des Gasverteilernetzes oder des künftigen Gasverteilernetzes darlegt, wie ausreichend grünes Methan produziert und gespeichert werden kann.</w:t>
      </w:r>
    </w:p>
    <w:p>
      <w:r>
        <w:t xml:space="preserve">Der Betreiber des Gasverteilernetzes hat der planungsverantwortlichen Stelle alle für die Einteilung relevanten Planungen und Unterlagen vorzulegen.</w:t>
      </w:r>
    </w:p>
    <w:p>
      <w:r>
        <w:t xml:space="preserve">(2) Der Betreiber eines bestehenden Gasverteilernetzes hat der zuständigen planungsverantwortlichen Stelle unaufgefordert mitzuteilen, sobald er beschließt,</w:t>
      </w:r>
    </w:p>
    <w:p>
      <w:pPr>
        <w:ind w:left="420"/>
      </w:pPr>
      <w:r>
        <w:t xml:space="preserve">1. sein Verteilernetz oder Teile seines Verteilernetzes vom vorgelagerten Fernleitungs- oder Verteilernetz zu entkoppeln oder</w:t>
      </w:r>
    </w:p>
    <w:p>
      <w:pPr>
        <w:ind w:left="420"/>
      </w:pPr>
      <w:r>
        <w:t xml:space="preserve">2. in Gebieten oder Teilgebieten den Neuanschluss von Kunden oder die Versorgung mit Gas einzuschränken oder einzustellen.</w:t>
      </w:r>
    </w:p>
    <w:p>
      <w:r>
        <w:t xml:space="preserve">(3) Die Informationen nach Absatz 2 sind im Rahmen der Wärmeplanung zu berücksichtigen.</w:t>
      </w:r>
    </w:p>
    <w:p>
      <w:r>
        <w:t xml:space="preserve">(4) Die planungsverantwortliche Stelle meldet den für das Zieljahr erwarteten Bedarf an grünem Methan, der mit der Einstufung nach Absatz 1 verbunden ist, an die nach Landesrecht zuständige Stelle. Die nach Landesrecht zuständige Stelle prüft alle fünf Jahre, erstmalig ab dem 1. Januar 2030, ob die ihr übermittelten Bedarfe durch verfügbare Potenziale gedeckt werden können. Bei der Ermittlung der verfügbaren Potenziale ist davon auszugehen, dass die im Vorjahr der Planungserstellung oder im Vorjahr der Fortschreibung für die Stromerzeugung eingesetzten gasförmigen Biomasse-Brennstoffe auch weiterhin zur Stromerzeugung verwendet werden. Die Vorgaben des § 39i Absatz 1 des Erneuerbare-Energien-Gesetzes sind entsprechend anzuwenden. Sollte sich eine erhebliche Lücke abzeichnen, informiert die nach Landesrecht zuständige Stelle die betroffenen planungsverantwortlichen Stellen. Diese müssen den Sachverhalt bei der nächsten Fortschreibung ihres jeweiligen Wärmeplans berücksichtigen.</w:t>
      </w:r>
    </w:p>
    <w:p>
      <w:r>
        <w:rPr>
          <w:color w:val="555555"/>
          <w:sz w:val="17"/>
        </w:rPr>
        <w:t xml:space="preserve">Zitiervorschlag: § 28 WPG</w:t>
      </w:r>
    </w:p>
    <w:p>
      <w:r>
        <w:rPr>
          <w:color w:val="555555"/>
          <w:sz w:val="17"/>
        </w:rPr>
        <w:t xml:space="preserve">Quelle: Bundesamt für Justiz, abgerufen 06.08.2026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