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WPG — Rechtswirkung der Entscheidung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06.08.2026 (konsolidierte Textfassung, kein amtliches Inkrafttretensdatum)</w:t>
      </w:r>
    </w:p>
    <w:p>
      <w:r>
        <w:t xml:space="preserve">(1) Die Entscheidung über die Ausweisung eines Gebiets als Gebiet zum Neu- oder Ausbau von Wärmenetzen oder als Wasserstoffnetzausbaugebiet bewirkt keine Pflicht, eine bestimmte Wärmeversorgungsart tatsächlich zu nutzen oder eine bestimmte Wärmeversorgungsinfrastruktur zu errichten, auszubauen oder zu betreiben.</w:t>
      </w:r>
    </w:p>
    <w:p>
      <w:r>
        <w:t xml:space="preserve">(2) Entscheidungen über die Ausweisung als Gebiet zum Neu- oder Ausbau von Wärmenetzen oder als Wasserstoffnetzausbaugebiet sind zu berücksichtigen in Abwägungs- und Ermessensentscheidungen bei</w:t>
      </w:r>
    </w:p>
    <w:p>
      <w:pPr>
        <w:ind w:left="420"/>
      </w:pPr>
      <w:r>
        <w:t xml:space="preserve">1. einer Aufstellung, Änderung, Ergänzung oder Aufhebung eines Bauleitplans und</w:t>
      </w:r>
    </w:p>
    <w:p>
      <w:pPr>
        <w:ind w:left="420"/>
      </w:pPr>
      <w:r>
        <w:t xml:space="preserve">2. einer anderen flächenbedeutsamen Planung oder Maßnahme einer öffentlichen Stelle oder von einer Person des Privatrechts in Wahrnehmung öffentlicher Aufgaben.</w:t>
      </w:r>
    </w:p>
    <w:p>
      <w:r>
        <w:t xml:space="preserve">(3) Die planungsrechtliche Zulässigkeit und die Genehmigung von Vorhaben zur Umsetzung der Ergebnisse der Wärmeplanung sowie der Entscheidung nach § 26 Absatz 1 richten sich nach den für das jeweilige Vorhaben geltenden rechtlichen Grundlagen.</w:t>
      </w:r>
    </w:p>
    <w:p>
      <w:r>
        <w:rPr>
          <w:color w:val="555555"/>
          <w:sz w:val="17"/>
        </w:rPr>
        <w:t xml:space="preserve">Zitiervorschlag: § 27 WPG</w:t>
      </w:r>
    </w:p>
    <w:p>
      <w:r>
        <w:rPr>
          <w:color w:val="555555"/>
          <w:sz w:val="17"/>
        </w:rPr>
        <w:t xml:space="preserve">Quelle: Bundesamt für Justiz, abgerufen 06.08.2026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