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WPG — Wärmeplan</w:t>
      </w:r>
    </w:p>
    <w:p>
      <w:r>
        <w:rPr>
          <w:color w:val="555555"/>
          <w:sz w:val="18"/>
        </w:rPr>
        <w:t xml:space="preserve">Wärmeplanungsgesetz</w:t>
      </w:r>
    </w:p>
    <w:p>
      <w:r>
        <w:rPr>
          <w:color w:val="555555"/>
          <w:sz w:val="18"/>
        </w:rPr>
        <w:t xml:space="preserve">Stand: 01.01.2024 (konsolidierte Textfassung, kein amtliches Inkrafttretensdatum)</w:t>
      </w:r>
    </w:p>
    <w:p>
      <w:r>
        <w:t xml:space="preserve">(1) Die planungsverantwortliche Stelle fasst die wesentlichen Ergebnisse der Wärmeplanung im Wärmeplan zusammen. Sie dokumentiert den Zeitpunkt der Fertigstellung der Wärmeplanung.</w:t>
      </w:r>
    </w:p>
    <w:p>
      <w:r>
        <w:t xml:space="preserve">(2) Die Ergebnisse der Eignungsprüfung, der Bestandsanalyse und der Potenzialanalyse, das Zielszenario, die Einteilung des beplanten Gebiets in voraussichtliche Wärmeversorgungsgebiete, die Darstellung der Wärmeversorgungsart für das Zieljahr sowie die Umsetzungsmaßnahmen sind wesentlicher Teil des Wärmeplans. Sie werden nach Maßgabe der Anlage 2 dargestellt.</w:t>
      </w:r>
    </w:p>
    <w:p>
      <w:r>
        <w:t xml:space="preserve">(3) Der Wärmeplan wird durch das nach Maßgabe des Landesrechts zuständige Gremium oder die zuständige Stelle beschlossen und anschließend im Internet veröffentlicht.</w:t>
      </w:r>
    </w:p>
    <w:p>
      <w:r>
        <w:t xml:space="preserve">(4) Der Wärmeplan hat keine rechtliche Außenwirkung und begründet keine einklagbaren Rechte oder Pflichten.</w:t>
      </w:r>
    </w:p>
    <w:p>
      <w:r>
        <w:rPr>
          <w:color w:val="555555"/>
          <w:sz w:val="17"/>
        </w:rPr>
        <w:t xml:space="preserve">Zitiervorschlag: § 23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