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WPG — Bestandsanalyse</w:t>
      </w:r>
    </w:p>
    <w:p>
      <w:r>
        <w:rPr>
          <w:color w:val="555555"/>
          <w:sz w:val="18"/>
        </w:rPr>
        <w:t xml:space="preserve">Wärmeplanungsgesetz</w:t>
      </w:r>
    </w:p>
    <w:p>
      <w:r>
        <w:rPr>
          <w:color w:val="555555"/>
          <w:sz w:val="18"/>
        </w:rPr>
        <w:t xml:space="preserve">Stand: 01.01.2024 (konsolidierte Textfassung, kein amtliches Inkrafttretensdatum)</w:t>
      </w:r>
    </w:p>
    <w:p>
      <w:r>
        <w:t xml:space="preserve">(1) Im Rahmen der Bestandsanalyse ermittelt die planungsverantwortliche Stelle als Grundlage für das Zielszenario nach § 17, für die Einteilung des beplanten Gebiets in voraussichtliche Wärmeversorgungsgebiete nach § 18 Absatz 1, für die Darstellung von Gebieten nach § 18 Absatz 5 und für die Darstellung der Wärmeversorgungsarten für das Zieljahr nach § 19</w:t>
      </w:r>
    </w:p>
    <w:p>
      <w:pPr>
        <w:ind w:left="420"/>
      </w:pPr>
      <w:r>
        <w:t xml:space="preserve">1. den derzeitigen Wärmebedarf oder Wärmeverbrauch innerhalb des beplanten Gebiets einschließlich der hierfür eingesetzten Energieträger,</w:t>
      </w:r>
    </w:p>
    <w:p>
      <w:pPr>
        <w:ind w:left="420"/>
      </w:pPr>
      <w:r>
        <w:t xml:space="preserve">2. die vorhandenen Wärmeerzeugungsanlagen und</w:t>
      </w:r>
    </w:p>
    <w:p>
      <w:pPr>
        <w:ind w:left="420"/>
      </w:pPr>
      <w:r>
        <w:t xml:space="preserve">3. die für die Wärmeversorgung relevanten Energieinfrastrukturanlagen.</w:t>
      </w:r>
    </w:p>
    <w:p>
      <w:r>
        <w:t xml:space="preserve">(2) Im Rahmen der Bestandsanalyse sind von der planungsverantwortlichen Stelle die für die Wärmeplanung relevanten Informationen und erforderlichen Daten zur aktuellen Versorgung des beplanten Gebiets mit Wärme systematisch und qualifiziert zu erheben. Hierzu ist die planungsverantwortliche Stelle nach Maßgabe von Abschnitt 3 berechtigt, die in Anlage 1 genannten Daten zu erheben.</w:t>
      </w:r>
    </w:p>
    <w:p>
      <w:r>
        <w:rPr>
          <w:color w:val="555555"/>
          <w:sz w:val="17"/>
        </w:rPr>
        <w:t xml:space="preserve">Zitiervorschlag: § 15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