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WPG — Anforderungen an die Datenverarbeitung</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planungsverantwortliche Stelle muss bei der Datenverarbeitung</w:t>
      </w:r>
    </w:p>
    <w:p>
      <w:pPr>
        <w:ind w:left="420"/>
      </w:pPr>
      <w:r>
        <w:t xml:space="preserve">1. unmittelbar geltende Rechtsakte der Europäischen Union sowie Rechtsvorschriften des Bundes oder der Länder hinsichtlich der Vertraulichkeit oder der Sicherheit der Daten sowie zum Schutz personenbezogener Daten beachten,</w:t>
      </w:r>
    </w:p>
    <w:p>
      <w:pPr>
        <w:ind w:left="420"/>
      </w:pPr>
      <w:r>
        <w:t xml:space="preserve">2. unter Berücksichtigung des Stands der Technik geeignete technische und organisatorische Maßnahmen zur Sicherstellung der Vertraulichkeit und der Sicherheit der Daten sowie zum Schutz personenbezogener Daten ergreifen,</w:t>
      </w:r>
    </w:p>
    <w:p>
      <w:pPr>
        <w:ind w:left="420"/>
      </w:pPr>
      <w:r>
        <w:t xml:space="preserve">3. sicherstellen, dass Veröffentlichungen, insbesondere eines Wärmeplans gemäß § 23 einschließlich der einzelnen wesentlichen Teile nach den §§ 15, 16, 17, 18, 19 oder § 20, keine personenbezogenen Daten, Betriebs- oder Geschäftsgeheimnisse oder vertraulichen Informationen zu Kritischen Infrastrukturen enthalten,</w:t>
      </w:r>
    </w:p>
    <w:p>
      <w:pPr>
        <w:ind w:left="420"/>
      </w:pPr>
      <w:r>
        <w:t xml:space="preserve">4. sicherstellen, dass Veröffentlichungen im Sinne der Nummer 3 keine Daten enthalten, die die Bundeswehr, verbündete Streitkräfte oder von diesen Stellen beauftragte Stellen einschließlich deren Liegenschaften betreffen, oder Informationen, die Rückschlüsse auf Fähigkeiten und Verfahren der Bundeswehr und verbündeter Streitkräfte zulassen; das Bundesministerium der Verteidigung kann für Liegenschaften im Geschäftsbereich des Bundesministeriums der Verteidigung und die jeweils zuständige Bundesbehörde entsprechend den geltenden Abkommen für Liegenschaften verbündeter Streitkräfte der Veröffentlichung zustimmen, wobei die Zustimmung als erteilt gilt, wenn das Bundesministerium der Verteidigung oder die für die Erteilung der Zustimmung für Liegenschaften verbündeter Streitkräfte zuständige Bundesbehörde der Veröffentlichung nicht innerhalb von zwei Monaten schriftlich gegenüber der planungsverantwortlichen Stelle widersprochen hat.</w:t>
      </w:r>
    </w:p>
    <w:p>
      <w:r>
        <w:t xml:space="preserve">(2) Sobald dies im Hinblick auf die Aufgabenwahrnehmung nach § 10 Absatz 1 möglich ist, sind personenbezogene Daten zu pseudonymisieren oder, wenn der Zweck der Verarbeitung dies zulässt, zu anonymisieren. Sobald personenbezogene Daten nicht mehr, auch nicht in pseudonymisierter Form, benötigt werden, sind sie unverzüglich zu löschen.</w:t>
      </w:r>
    </w:p>
    <w:p>
      <w:r>
        <w:t xml:space="preserve">(3) Eine Pflicht zur Information der betroffenen Personen gemäß Artikel 13 Absatz 3 und Artikel 14 Absatz 4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besteht nicht. Zum Schutz der berechtigten Interessen der betroffenen Personen hat die planungsverantwortliche Stelle die Informationen ortsüblich bekanntzumachen.</w:t>
      </w:r>
    </w:p>
    <w:p>
      <w:r>
        <w:rPr>
          <w:color w:val="555555"/>
          <w:sz w:val="17"/>
        </w:rPr>
        <w:t xml:space="preserve">Zitiervorschlag: § 12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