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WPBV (Bayern) — Eignungsnachweis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Eignung von Anlagen zum Umgang mit wassergefährdenden Stoffen nach § 62 WHG ist durch Vorlage von Gutachten geeigneter Sachverständiger nachzuweisen. Die Eignung von Anlagen, einzelner Anlagenteile oder technischer Schutzvorkehrungen kann auch gemäß § 63 Abs. 3 WHG nachgewiesen werden.</w:t>
      </w:r>
    </w:p>
    <w:p>
      <w:r>
        <w:t xml:space="preserve">(2) Weitergehende Vorschriften nach § 13 der Verordnung über Anlagen zum Umgang mit wassergefährdenden Stoffen und über Fachbetriebe (Anlagenverordnung – VAwS) vom 18. Januar 2006 (GVBl S. 63, BayRS 753-1-4-UG), zuletzt geändert durch Verordnung vom 3. Dezember 2009 (GVBl S. 621), bleiben unberührt.</w:t>
      </w:r>
    </w:p>
    <w:p>
      <w:r>
        <w:rPr>
          <w:color w:val="555555"/>
          <w:sz w:val="17"/>
        </w:rPr>
        <w:t xml:space="preserve">Zitiervorschlag: § 10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