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WPAnrV</w:t>
      </w:r>
    </w:p>
    <w:p>
      <w:r>
        <w:rPr>
          <w:color w:val="555555"/>
          <w:sz w:val="18"/>
        </w:rPr>
        <w:t xml:space="preserve">Wirtschaftsprüfungsexamens-Anrechnungsverordnung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8a Abs. 3 und des § 13b Satz 3 der Wirtschaftsprüferordnung in der Fassung der Bekanntmachung vom 5. November 1975 (BGBl. I S. 2803), die durch Artikel 1 Nr. 6 und 12 des Gesetzes vom 1. Dezember 2003 (BGBl. I S. 2446) eingefügt worden sind, verordnet das Bundesministerium für Wirtschaft und Arbeit:</w:t>
      </w:r>
    </w:p>
    <w:p>
      <w:r>
        <w:rPr>
          <w:color w:val="555555"/>
          <w:sz w:val="17"/>
        </w:rPr>
        <w:t xml:space="preserve">Zitiervorschlag: Eingangsformel WPAnrV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https://recht.nulegal.eu/gesetze/WPAnrV/eingangsformel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