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WPAnrV — Voraussetzungen der Anrechnung</w:t>
      </w:r>
    </w:p>
    <w:p>
      <w:r>
        <w:rPr>
          <w:color w:val="555555"/>
          <w:sz w:val="18"/>
        </w:rPr>
        <w:t xml:space="preserve">Wirtschaftsprüfungsexamens-Anrechnungsverordnung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Leistungsnachweise für schriftliche und mündliche Prüfungen in einem oder beiden der Prüfungsgebiete "Angewandte Betriebswirtschaftslehre, Volkswirtschaftslehre" und "Wirtschaftsrecht" eines in- oder ausländischen Studiengangs, der nicht nach Teil 1 anerkannt sein muss, werden auf das Wirtschaftsprüfungsexamen angerechnet, wenn</w:t>
      </w:r>
    </w:p>
    <w:p>
      <w:pPr>
        <w:ind w:left="420"/>
      </w:pPr>
      <w:r>
        <w:t xml:space="preserve">1. die Prüfungen als gleichwertig festgestellt werden,</w:t>
      </w:r>
    </w:p>
    <w:p>
      <w:pPr>
        <w:ind w:left="420"/>
      </w:pPr>
      <w:r>
        <w:t xml:space="preserve">2. das gewählte Haupt- oder Schwerpunktfach den wesentlichen Inhalten eines oder beider Prüfungsgebiete "Angewandte Betriebswirtschaftslehre, Volkswirtschaftslehre" und "Wirtschaftsrecht" entspricht und</w:t>
      </w:r>
    </w:p>
    <w:p>
      <w:pPr>
        <w:ind w:left="420"/>
      </w:pPr>
      <w:r>
        <w:t xml:space="preserve">3. hierin Prüfungsleistungen erbracht worden sind.</w:t>
      </w:r>
    </w:p>
    <w:p>
      <w:r>
        <w:t xml:space="preserve">§ 8 Abs. 3 der Wirtschaftsprüferordnung bleibt unberührt.</w:t>
      </w:r>
    </w:p>
    <w:p>
      <w:r>
        <w:t xml:space="preserve">(2) Schriftliche und mündliche Prüfungen sind nach Absatz 1 Satz 1 Nr. 1 als gleichwertig festzustellen, wenn sie solchen des Wirtschaftsprüfungsexamens entsprechen. Dies ist gegeben, wenn die Prüfungen nach</w:t>
      </w:r>
    </w:p>
    <w:p>
      <w:pPr>
        <w:ind w:left="420"/>
      </w:pPr>
      <w:r>
        <w:t xml:space="preserve">1. ihrem Inhalt gemäß den §§ 4 und 15 Abs. 1 der Wirtschaftsprüferprüfungsverordnung in Verbindung mit den Anerkennungsgrundlagen und dem Referenzrahmen nach dieser Verordnung,</w:t>
      </w:r>
    </w:p>
    <w:p>
      <w:pPr>
        <w:ind w:left="420"/>
      </w:pPr>
      <w:r>
        <w:t xml:space="preserve">2. ihrer Form gemäß den §§ 10 und 15 Abs. 2, 4 und 5 der Wirtschaftsprüferprüfungsverordnung und</w:t>
      </w:r>
    </w:p>
    <w:p>
      <w:pPr>
        <w:ind w:left="420"/>
      </w:pPr>
      <w:r>
        <w:t xml:space="preserve">3. ihrem gesamten zeitlichen Umfang gemäß § 7 Abs. 2 und § 15 Abs. 3 der Wirtschaftsprüferprüfungsverordnung</w:t>
      </w:r>
    </w:p>
    <w:p>
      <w:r>
        <w:t xml:space="preserve">im Ergebnis gleichzusetzen sind. Die Gleichwertigkeit ist anhand des Referenzrahmens nach § 4 Abs. 1 und, soweit verfügbar, darauf basierender Lehrpläne (Curricula) nach § 4 Abs. 2 Satz 2 zu beurteilen.</w:t>
      </w:r>
    </w:p>
    <w:p>
      <w:r>
        <w:rPr>
          <w:color w:val="555555"/>
          <w:sz w:val="17"/>
        </w:rPr>
        <w:t xml:space="preserve">Zitiervorschlag: § 7 WPAnrV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https://recht.nulegal.eu/gesetze/WPAnrV/7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