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WPAnrV — Anforderungen an den Zugang zum Masterstudiengang und dessen Ausgestaltung</w:t>
      </w:r>
    </w:p>
    <w:p>
      <w:r>
        <w:rPr>
          <w:color w:val="555555"/>
          <w:sz w:val="18"/>
        </w:rPr>
        <w:t xml:space="preserve">Wirtschaftsprüfungsexamens-Anrechnungsverordnung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Anerkennung eines Masterstudiengangs nach § 1 Satz 2 setzt voraus, dass die Prüfungsordnung</w:t>
      </w:r>
    </w:p>
    <w:p>
      <w:pPr>
        <w:ind w:left="420"/>
      </w:pPr>
      <w:r>
        <w:t xml:space="preserve">1. den Nachweis über die Ableistung von drei Monaten Tätigkeit gemäß § 9 Abs. 1 der Wirtschaftsprüferordnung und drei Monaten Prüfungstätigkeit gemäß § 9 Abs. 2 der Wirtschaftsprüferordnung (Praxiszeit) nach Erwerb des ersten berufsqualifizierenden Abschlusses, aber vor Beginn des Masterstudiengangs vorsieht;</w:t>
      </w:r>
    </w:p>
    <w:p>
      <w:pPr>
        <w:ind w:left="420"/>
      </w:pPr>
      <w:r>
        <w:t xml:space="preserve">2. das Bestehen einer Zugangsprüfung, die wirtschaftsprüfungsrelevante Anteile berücksichtigt, vorsieht; vor Beginn des Studiums muss die Praxiszeit abgeleistet sein;</w:t>
      </w:r>
    </w:p>
    <w:p>
      <w:pPr>
        <w:ind w:left="420"/>
      </w:pPr>
      <w:r>
        <w:t xml:space="preserve">3. für den Masterstudiengang vier Theoriesemester vorsieht;</w:t>
      </w:r>
    </w:p>
    <w:p>
      <w:pPr>
        <w:ind w:left="420"/>
      </w:pPr>
      <w:r>
        <w:t xml:space="preserve">4. vorsieht, dass die Masterabschlussarbeit in dem Prüfungsgebiet "Wirtschaftliches Prüfungswesen, Unternehmensbewertung und Berufsrecht" geschrieben wird.</w:t>
      </w:r>
    </w:p>
    <w:p>
      <w:r>
        <w:rPr>
          <w:color w:val="555555"/>
          <w:sz w:val="17"/>
        </w:rPr>
        <w:t xml:space="preserve">Zitiervorschlag: § 3 WPAnrV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https://recht.nulegal.eu/gesetze/WPAnrV/3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