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WPAnrV — Übergangsvorschriften</w:t>
      </w:r>
    </w:p>
    <w:p>
      <w:r>
        <w:rPr>
          <w:color w:val="555555"/>
          <w:sz w:val="18"/>
        </w:rPr>
        <w:t xml:space="preserve">Wirtschaftsprüfungsexamens-Anrechnungsverordnung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Eine Anrechnung des Masterabschlusses auf das Wirtschaftsprüfungsexamen durch die Prüfungsstelle nach Teil 1 findet nur statt, wenn der Masterstudiengang nach Inkrafttreten dieser Verordnung akkreditiert wird, auch wenn dieser bereits vor Inkrafttreten dieser Verordnung eingerichtet war.</w:t>
      </w:r>
    </w:p>
    <w:p>
      <w:r>
        <w:t xml:space="preserve">(2) Eine Anrechnung gleichwertiger Prüfungsleistungen nach Teil 2 findet nur statt, wenn die Gleichwertigkeit der Prüfungen gemäß § 7 Abs. 2 nach Inkrafttreten dieser Verordnung durch die Prüfungsstelle festgestellt wird, auch wenn der Studiengang bereits vor Inkrafttreten dieser Verordnung eingerichtet war; Prüfungsleistungen müssen, um angerechnet werden zu können, nach Inkrafttreten dieser Verordnung erbracht worden sein.</w:t>
      </w:r>
    </w:p>
    <w:p>
      <w:r>
        <w:t xml:space="preserve">(3) § 9 ist in der bis zum 17. Juni 2009 geltenden Fassung anzuwenden auf Prüfungsleistungen, die in einem Studium erbracht worden sind, das spätestens am 17. Juni 2009 begonnen wurde.</w:t>
      </w:r>
    </w:p>
    <w:p>
      <w:r>
        <w:rPr>
          <w:color w:val="555555"/>
          <w:sz w:val="17"/>
        </w:rPr>
        <w:t xml:space="preserve">Zitiervorschlag: § 10 WPAnrV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https://recht.nulegal.eu/gesetze/WPAnrV/10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