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WOSprAuG — Bekanntmachung der Vorschlagslisten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Nach Ablauf der in § 5 Abs. 1 sowie der in den §§ 7 und 8 genannten Fristen ermittelt der Wahlvorstand durch das Los die Reihenfolge der Ordnungsnummern, die den eingereichten Vorschlagslisten zugeteilt werden (Liste 1 usw.). Die Listenvertreter sind zu der Losentscheidung rechtzeitig einzuladen.</w:t>
      </w:r>
    </w:p>
    <w:p>
      <w:r>
        <w:t xml:space="preserve">(2) Spätestens eine Woche vor Beginn der Stimmabgabe hat der Wahlvorstand die als gültig anerkannten Vorschlagslisten bis zum Abschluß der Stimmabgabe in gleicher Weise bekanntzumachen wie das Wahlausschreiben nach § 3 Absatz 4 Satz 1 bis 3.</w:t>
      </w:r>
    </w:p>
    <w:p>
      <w:r>
        <w:rPr>
          <w:color w:val="555555"/>
          <w:sz w:val="17"/>
        </w:rPr>
        <w:t xml:space="preserve">Zitiervorschlag: § 9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