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WOSprAuG — Berechnung der Fristen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Für die Berechnung der in dieser Verordnung festgelegten Fristen finden die §§ 186 bis 193 des Bürgerlichen Gesetzbuchs entsprechende Anwendung.</w:t>
      </w:r>
    </w:p>
    <w:p>
      <w:r>
        <w:t xml:space="preserve">(2) Mit der Bestimmung des letzten Tages einer Frist nach Absatz 1 kann der Wahlvorstand eine Uhrzeit festlegen, bis zu der ihm Erklärungen nach § 4 Absatz 1, § 5 Absatz 1 und 7 Satz 2, § 7 Absatz 2 sowie § 8 Absatz 1 Satz 1 zugehen müssen. Diese Uhrzeit darf nicht vor dem Ende der Arbeitszeit der Mehrheit der Wähler an diesem Tag liegen.</w:t>
      </w:r>
    </w:p>
    <w:p>
      <w:r>
        <w:rPr>
          <w:color w:val="555555"/>
          <w:sz w:val="17"/>
        </w:rPr>
        <w:t xml:space="preserve">Zitiervorschlag: § 40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