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WOSprAuG — Einspruch gegen die Wählerliste</w:t>
      </w:r>
    </w:p>
    <w:p>
      <w:r>
        <w:rPr>
          <w:color w:val="555555"/>
          <w:sz w:val="18"/>
        </w:rPr>
        <w:t xml:space="preserve">Wahlordnung zum Sprecherausschußgesetz</w:t>
      </w:r>
    </w:p>
    <w:p>
      <w:r>
        <w:rPr>
          <w:color w:val="555555"/>
          <w:sz w:val="18"/>
        </w:rPr>
        <w:t xml:space="preserve">Stand: 28.01.2022 (konsolidierte Textfassung, kein amtliches Inkrafttretensdatum)</w:t>
      </w:r>
    </w:p>
    <w:p>
      <w:r>
        <w:t xml:space="preserve">(1) Einsprüche gegen die Richtigkeit der Wählerliste können mit Wirksamkeit für die Wahl des Sprecherausschusses nur vor Ablauf von zwei Wochen seit Erlaß des Wahlausschreibens beim Wahlvorstand schriftlich eingelegt werden.</w:t>
      </w:r>
    </w:p>
    <w:p>
      <w:r>
        <w:t xml:space="preserve">(2) Über Einsprüche nach Absatz 1 hat der Wahlvorstand unverzüglich zu entscheiden. Der Einspruch ist ausgeschlossen, soweit er darauf gestützt wird, daß die Zuordnung nach § 18a des Betriebsverfassungsgesetzes fehlerhaft erfolgt sei. Satz 2 gilt nicht, soweit die nach § 18a Abs. 1 oder 4 Satz 3 des Betriebsverfassungsgesetzes am Zuordnungsverfahren Beteiligten die Zuordnung übereinstimmend für offensichtlich fehlerhaft halten. Wird der Einspruch für begründet erachtet, ist die Wählerliste zu berichtigen. Die Entscheidung des Wahlvorstands ist dem Angestellten, der den Einspruch eingelegt hat, unverzüglich schriftlich mitzuteilen; die Entscheidung muß dem Angestellten spätestens am Tage vor dem Beginn der Stimmabgabe zugehen.</w:t>
      </w:r>
    </w:p>
    <w:p>
      <w:r>
        <w:t xml:space="preserve">(3) Nach Ablauf der Einspruchsfrist soll der Wahlvorstand die Wählerliste nochmals auf ihre Vollständigkeit hin überprüfen. Im übrigen kann nach Ablauf der Einspruchsfrist die Wählerliste nur bei Schreibfehlern, offenbaren Unrichtigkeiten, in Erledigung rechtzeitig eingelegter Einsprüche oder bei Eintritt eines leitenden Angestellten in den Betrieb bis zum Abschluss der Stimmabgabe berichtigt oder ergänzt werden.</w:t>
      </w:r>
    </w:p>
    <w:p>
      <w:r>
        <w:rPr>
          <w:color w:val="555555"/>
          <w:sz w:val="17"/>
        </w:rPr>
        <w:t xml:space="preserve">Zitiervorschlag: § 4 WOSprAuG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https://recht.nulegal.eu/gesetze/WOSprAuG/4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