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WOSprAuG — Teilnahme der Kapitäne an der Wahl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in Landbetrieben von Seeschiffahrtsunternehmen Sprecherausschüsse gewählt, finden die §§ 1 bis 38 mit folgender Maßgabe Anwendung:</w:t>
      </w:r>
    </w:p>
    <w:p>
      <w:pPr>
        <w:ind w:left="420"/>
      </w:pPr>
      <w:r>
        <w:t xml:space="preserve">1. Der Arbeitgeber hat dem Wahlvorstand die Häfen, die die einzelnen zum Seeschiffahrtsunternehmen gehörenden Schiffe anlaufen, sowie die voraussichtlichen jeweiligen Liegezeiten anzugeben (§ 2 Abs. 2).</w:t>
      </w:r>
    </w:p>
    <w:p>
      <w:pPr>
        <w:ind w:left="420"/>
      </w:pPr>
      <w:r>
        <w:t xml:space="preserve">2. Der Wahlvorstand übersendet jedem Kapitän einen Abdruck der Wählerliste und einen Abdruck dieser Verordnung (§ 2 Abs. 4).</w:t>
      </w:r>
    </w:p>
    <w:p>
      <w:pPr>
        <w:ind w:left="420"/>
      </w:pPr>
      <w:r>
        <w:t xml:space="preserve">3. Mitteilungen, die im Landbetrieb bekanntzumachen sind, übersendet der Wahlvorstand jedem Kapitän. Die Versendung hat gleichzeitig mit der Bekanntgabe zu erfolgen; mit der Versendung beginnen die Fristen zu laufen.</w:t>
      </w:r>
    </w:p>
    <w:p>
      <w:pPr>
        <w:ind w:left="420"/>
      </w:pPr>
      <w:r>
        <w:t xml:space="preserve">4. Die in § 3 Abs. 1 Satz 1 genannte Frist für den Erlaß des Wahlausschreibens wird auf zwölf Wochen verlängert.</w:t>
      </w:r>
    </w:p>
    <w:p>
      <w:pPr>
        <w:ind w:left="420"/>
      </w:pPr>
      <w:r>
        <w:t xml:space="preserve">5. Das Wahlausschreiben muß die Angabe enthalten, daß</w:t>
      </w:r>
    </w:p>
    <w:p>
      <w:pPr>
        <w:ind w:left="780"/>
      </w:pPr>
      <w:r>
        <w:t xml:space="preserve">a) Einsprüche gegen die Wählerliste nur vor Ablauf von fünf Wochen seit dem Erlaß des Wahlausschreibens eingelegt werden können (§ 3 Abs. 2 Nr. 3);</w:t>
      </w:r>
    </w:p>
    <w:p>
      <w:pPr>
        <w:ind w:left="780"/>
      </w:pPr>
      <w:r>
        <w:t xml:space="preserve">b) Wahlvorschläge vor Ablauf von fünf Wochen seit dem Erlaß des Wahlausschreibens beim Wahlvorstand einzureichen sind (§ 3 Abs. 2 Nr. 6);</w:t>
      </w:r>
    </w:p>
    <w:p>
      <w:pPr>
        <w:ind w:left="780"/>
      </w:pPr>
      <w:r>
        <w:t xml:space="preserve">c) die Kapitäne in Briefwahl abstimmen (§ 3 Abs. 2 Nr. 10).</w:t>
      </w:r>
    </w:p>
    <w:p>
      <w:pPr>
        <w:ind w:left="420"/>
      </w:pPr>
      <w:r>
        <w:t xml:space="preserve">6. Die in § 4 Abs. 1 genannte Frist für Einsprüche gegen die Wählerliste wird auf fünf Wochen verlängert. § 4 Abs. 2 Satz 5 zweiter Halbsatz findet keine Anwendung.</w:t>
      </w:r>
    </w:p>
    <w:p>
      <w:pPr>
        <w:ind w:left="420"/>
      </w:pPr>
      <w:r>
        <w:t xml:space="preserve">7. Die in § 5 Abs. 1 Satz 2 genannte Frist für die Einreichung von Vorschlagslisten wird auf fünf Wochen verlängert.</w:t>
      </w:r>
    </w:p>
    <w:p>
      <w:pPr>
        <w:ind w:left="420"/>
      </w:pPr>
      <w:r>
        <w:t xml:space="preserve">8. Die in § 9 Abs. 2 genannte Frist für die Bekanntmachung der Vorschlagslisten wird auf fünf Wochen verlängert.</w:t>
      </w:r>
    </w:p>
    <w:p>
      <w:pPr>
        <w:ind w:left="420"/>
      </w:pPr>
      <w:r>
        <w:t xml:space="preserve">9. Die Kapitäne stimmen in Briefwahl ab. § 23 Abs. 1 sowie die §§ 24 und 25 gelten entsprechend. Gleichzeitig mit der Versendung der Vorschlagslisten übersendet der Wahlvorstand jedem Kapitän die zur schriftlichen Stimmabgabe erforderlichen Unterlagen.</w:t>
      </w:r>
    </w:p>
    <w:p>
      <w:pPr>
        <w:ind w:left="420"/>
      </w:pPr>
      <w:r>
        <w:t xml:space="preserve">10. Die Abstimmungen nach den §§ 26, 36, 37 und 38 erfolgen durch schriftliche Stimmabgabe. § 33 gilt entsprechend.</w:t>
      </w:r>
    </w:p>
    <w:p>
      <w:r>
        <w:rPr>
          <w:color w:val="555555"/>
          <w:sz w:val="17"/>
        </w:rPr>
        <w:t xml:space="preserve">Zitiervorschlag: § 39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