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WOSprAuG — Wahl des Unternehmenssprecherausschusses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Für die Wahl des Unternehmenssprecherausschusses sind die §§ 1 bis 25 mit der Maßgabe anzuwenden, daß</w:t>
      </w:r>
    </w:p>
    <w:p>
      <w:pPr>
        <w:ind w:left="420"/>
      </w:pPr>
      <w:r>
        <w:t xml:space="preserve">1. ein Abdruck der Wählerliste und ein Abdruck dieser Verordnung an geeigneter Stelle in jedem Betrieb des Unternehmens zur Einsichtnahme auszulegen ist (§ 2 Abs. 4 Satz 1),</w:t>
      </w:r>
    </w:p>
    <w:p>
      <w:pPr>
        <w:ind w:left="420"/>
      </w:pPr>
      <w:r>
        <w:t xml:space="preserve">2. Mitteilungen, die vom Unternehmenswahlvorstand bekanntzumachen sind, in jedem Betrieb des Unternehmens auszuhängen sind,</w:t>
      </w:r>
    </w:p>
    <w:p>
      <w:pPr>
        <w:ind w:left="420"/>
      </w:pPr>
      <w:r>
        <w:t xml:space="preserve">3. der Unternehmenswahlvorstand leitende Angestellte als Wahlhelfer zu seiner Unterstützung auch bei der Bekanntmachung von Mitteilungen in den einzelnen Betrieben des Unternehmens heranziehen kann (§ 1 Abs. 2 Satz 2),</w:t>
      </w:r>
    </w:p>
    <w:p>
      <w:pPr>
        <w:ind w:left="420"/>
      </w:pPr>
      <w:r>
        <w:t xml:space="preserve">4. die Listenvertreter leitende Angestellte des Betriebs, in dem der Unternehmenswahlvorstand die Losentscheidung über die Reihenfolge der Ordnungsnummern der Vorschlagslisten (§ 9 Abs. 1) herbeizuführen hat, damit beauftragen können, an ihrer Stelle an der Losentscheidung teilzunehmen,</w:t>
      </w:r>
    </w:p>
    <w:p>
      <w:pPr>
        <w:ind w:left="420"/>
      </w:pPr>
      <w:r>
        <w:t xml:space="preserve">5. der Unternehmenswahlvorstand auch für einzelne Betriebe des Unternehmens die schriftliche Stimmabgabe beschließen kann (§ 23 Absatz 3 Satz 1),</w:t>
      </w:r>
    </w:p>
    <w:p>
      <w:pPr>
        <w:ind w:left="420"/>
      </w:pPr>
      <w:r>
        <w:t xml:space="preserve">6. das Wahlausschreiben die Angabe enthalten muß, ob für einzelne Betriebe des Unternehmens die schriftliche Stimmabgabe beschlossen ist (§ 3 Abs. 2 Nr. 10).</w:t>
      </w:r>
    </w:p>
    <w:p>
      <w:r>
        <w:rPr>
          <w:color w:val="555555"/>
          <w:sz w:val="17"/>
        </w:rPr>
        <w:t xml:space="preserve">Zitiervorschlag: § 34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