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WOSprAuG — Öffentliche Stimmauszählung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Unverzüglich nach Abschluß der Abstimmung nimmt der Wahlvorstand öffentlich die Auszählung der Stimmen vor. Sofern eine schriftliche Stimmabgabe erfolgt ist, führt der Wahlvorstand vor Beginn der Stimmauszählung das Verfahren nach § 30 Absatz 4 durch.</w:t>
      </w:r>
    </w:p>
    <w:p>
      <w:r>
        <w:t xml:space="preserve">(2) Nach Öffnung der Wahlurnen entnimmt der Wahlvorstand die Abstimmungszettel und stellt fest, wieviele Stimmen für die Wahl eines Sprecherausschusses abgegeben worden sind. Dabei ist die Gültigkeit der Abstimmungszettel zu prüfen; § 12 Abs. 3 gilt entsprechend.</w:t>
      </w:r>
    </w:p>
    <w:p>
      <w:r>
        <w:rPr>
          <w:color w:val="555555"/>
          <w:sz w:val="17"/>
        </w:rPr>
        <w:t xml:space="preserve">Zitiervorschlag: § 31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