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WOSprAuG — Art der Abstimmung</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Ist der Wahlvorstand nach § 7 Abs. 2 des Gesetzes gewählt, hat er unverzüglich eine geheime Abstimmung darüber herbeizuführen, ob ein Sprecherausschuß gewählt werden soll. Der Wahlvorstand beschließt, ob die Abstimmung in einer Versammlung oder durch schriftliche Stimmabgabe erfolgt. Die Abstimmung muß spätestens drei Wochen vor dem Tag liegen, an dem die Wahl des Sprecherausschusses eingeleitet wird (§ 3 Abs. 1).</w:t>
      </w:r>
    </w:p>
    <w:p>
      <w:r>
        <w:t xml:space="preserve">(2) Der Wahlvorstand hat eine Liste der nach § 7 Abs. 3 des Gesetzes Abstimmungsberechtigten (Abstimmungsliste) aufzustellen. § 2 Abs. 1 Satz 2 sowie Abs. 2 und 4 gilt entsprechend. Abstimmungsberechtigt sind nur leitende Angestellte, die in die Abstimmungsliste eingetragen sind. Die Abstimmungsliste kann bei Schreibfehlern oder offenbaren Unrichtigkeiten bis zum Abschluss der Stimmabgabe berichtigt oder ergänzt werden.</w:t>
      </w:r>
    </w:p>
    <w:p>
      <w:r>
        <w:rPr>
          <w:color w:val="555555"/>
          <w:sz w:val="17"/>
        </w:rPr>
        <w:t xml:space="preserve">Zitiervorschlag: § 26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