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WOSprAuG — Wahlniederschrift, Bekanntmachung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Nachdem ermittelt ist, wer gewählt ist, hat der Wahlvorstand in einer Niederschrift außer den Angaben nach § 14 Abs. 1 Nr. 1 und 5 bis 7 die auf jeden Bewerber entfallenen Stimmenzahlen festzustellen. § 14 Abs. 2, § 15 Abs. 1 sowie die §§ 16 und 17 gelten entsprechend.</w:t>
      </w:r>
    </w:p>
    <w:p>
      <w:r>
        <w:t xml:space="preserve">(2) Lehnt ein Gewählter die Wahl ab, tritt an seine Stelle der nicht gewählte Bewerber mit der nächsthöchsten Stimmenzahl.</w:t>
      </w:r>
    </w:p>
    <w:p>
      <w:r>
        <w:rPr>
          <w:color w:val="555555"/>
          <w:sz w:val="17"/>
        </w:rPr>
        <w:t xml:space="preserve">Zitiervorschlag: § 21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