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WOSprAuG — Ermittlung der Gewählten</w:t>
      </w:r>
    </w:p>
    <w:p>
      <w:r>
        <w:rPr>
          <w:color w:val="555555"/>
          <w:sz w:val="18"/>
        </w:rPr>
        <w:t xml:space="preserve">Wahlordnung zum Sprecherausschußgesetz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Gewählt sind die Bewerber, die die meisten Stimmen erhalten haben. Bei Stimmengleichheit entscheidet das Los.</w:t>
      </w:r>
    </w:p>
    <w:p>
      <w:r>
        <w:rPr>
          <w:color w:val="555555"/>
          <w:sz w:val="17"/>
        </w:rPr>
        <w:t xml:space="preserve">Zitiervorschlag: § 20 WOSprAuG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https://recht.nulegal.eu/gesetze/WOSprAuG/20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