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WOSprAuG — Stimmabgabe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Ist für die Wahl nur eine gültige Vorschlagsliste eingereicht, kann der Wähler seine Stimme nur für solche Bewerber abgeben, die in der Vorschlagsliste aufgeführt sind.</w:t>
      </w:r>
    </w:p>
    <w:p>
      <w:r>
        <w:t xml:space="preserve">(2) Auf den Stimmzetteln sind die Bewerber unter Angabe von Familienname und Vorname in der Reihenfolge aufzuführen, in der sie auf der Vorschlagsliste benannt sind.</w:t>
      </w:r>
    </w:p>
    <w:p>
      <w:r>
        <w:t xml:space="preserve">(3) Der Wähler kennzeichnet die von ihm gewählten Bewerber durch Ankreuzen an der im Stimmzettel hierfür vorgesehenen Stelle und faltet ihn in der Weise, dass seine Stimme nicht erkennbar ist; er darf nicht mehr Bewerber ankreuzen, als Mitglieder des Sprecherausschusses zu wählen sind. § 10 Abs. 1 Satz 2, Abs. 2 Satz 2 und Abs. 4 sowie die §§ 11 und 12 Abs. 1 gelten entsprechend.</w:t>
      </w:r>
    </w:p>
    <w:p>
      <w:r>
        <w:rPr>
          <w:color w:val="555555"/>
          <w:sz w:val="17"/>
        </w:rPr>
        <w:t xml:space="preserve">Zitiervorschlag: § 18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