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WOSprAuG — Öffentliche Stimmauszählung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Unverzüglich nach Abschluß der Stimmabgabe nimmt der Wahlvorstand öffentlich die Auszählung der Stimmen vor. Sofern eine schriftliche Stimmabgabe erfolgt ist, führt der Wahlvorstand vor Beginn der Stimmauszählung das Verfahren nach § 25 durch.</w:t>
      </w:r>
    </w:p>
    <w:p>
      <w:r>
        <w:t xml:space="preserve">(2) Nach Öffnung der Wahlurnen entnimmt der Wahlvorstand die Stimmzettel und zählt die auf jede Vorschlagsliste entfallenden Stimmen zusammen. Dabei ist die Gültigkeit der Stimmzettel zu prüfen.</w:t>
      </w:r>
    </w:p>
    <w:p>
      <w:r>
        <w:t xml:space="preserve">(3) Befindet sich in der Wahlurne ein Wahlumschlag mit mehreren gekennzeichneten Stimmzetteln (§ 25 Absatz 1 Satz 3), so werden die Stimmzettel, wenn sie vollständig übereinstimmen, nur einfach gezählt, andernfalls als ungültig angesehen.</w:t>
      </w:r>
    </w:p>
    <w:p>
      <w:r>
        <w:rPr>
          <w:color w:val="555555"/>
          <w:sz w:val="17"/>
        </w:rPr>
        <w:t xml:space="preserve">Zitiervorschlag: § 12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