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WOSprAuG — Stimmabgabe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Der Wähler kann seine Stimme nur für eine der als gültig anerkannten Vorschlagslisten abgeben. Die Stimmabgabe erfolgt durch Abgabe von Stimmzetteln.</w:t>
      </w:r>
    </w:p>
    <w:p>
      <w:r>
        <w:t xml:space="preserve">(2) Auf den Stimmzetteln sind die Vorschlagslisten nach der Reihenfolge der Ordnungsnummern sowie unter Angabe der beiden an erster und zweiter Stelle benannten Bewerber mit Familienname und Vorname untereinander aufzuführen; bei Listen, die mit Kennworten versehen sind, ist auch das Kennwort anzugeben. Die Stimmzettel müssen dieselbe Größe, Farbe, Beschaffenheit und Beschriftung haben.</w:t>
      </w:r>
    </w:p>
    <w:p>
      <w:r>
        <w:t xml:space="preserve">(3) Der Wähler kennzeichnet die von ihm gewählte Vorschlagsliste durch Ankreuzen an der im Stimmzettel hierfür vorgesehenen Stelle und faltet ihn in der Weise, dass seine Stimme nicht erkennbar ist.</w:t>
      </w:r>
    </w:p>
    <w:p>
      <w:r>
        <w:t xml:space="preserve">(4) Stimmzettel, die mit einem besonderen Merkmal versehen sind oder aus denen sich der Wille des Wählers nicht unzweifelhaft ergibt oder die andere Angaben als die in Absatz 1 genannten Vorschlagslisten, einen Zusatz oder sonstige Änderungen enthalten, sind ungültig.</w:t>
      </w:r>
    </w:p>
    <w:p>
      <w:r>
        <w:rPr>
          <w:color w:val="555555"/>
          <w:sz w:val="17"/>
        </w:rPr>
        <w:t xml:space="preserve">Zitiervorschlag: § 10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