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WOS 2002 — Wahlvorschläge der Gewerkschaften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Wahlvorschlag einer an Bord vertretenen Gewerkschaft (§ 14 Abs. 3 des Gesetzes) gelten § 6 sowie die §§ 8 bis 31 entsprechend.</w:t>
      </w:r>
    </w:p>
    <w:p>
      <w:r>
        <w:t xml:space="preserve">(2) Der Wahlvorschlag einer Gewerkschaft ist ungültig, wenn er nicht von zwei Beauftragten der Gewerkschaft unterzeichnet ist (§ 14 Abs. 5 des Gesetzes).</w:t>
      </w:r>
    </w:p>
    <w:p>
      <w:r>
        <w:t xml:space="preserve">(3) Die oder der an erster Stelle unterzeichnete Beauftragte gilt als Listenvertreterin oder Listenvertreter. Die Gewerkschaft kann ein Besatzungsmitglied, das ihr angehört, als Listenvertreterin oder Listenvertreter benennen.</w:t>
      </w:r>
    </w:p>
    <w:p>
      <w:r>
        <w:rPr>
          <w:color w:val="555555"/>
          <w:sz w:val="17"/>
        </w:rPr>
        <w:t xml:space="preserve">Zitiervorschlag: § 7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